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E30" w:rsidRPr="00F06DDA" w:rsidRDefault="00A01FC2">
      <w:pPr>
        <w:rPr>
          <w:rFonts w:ascii="Times New Roman" w:hAnsi="Times New Roman" w:cs="Times New Roman"/>
          <w:b/>
          <w:sz w:val="28"/>
          <w:szCs w:val="28"/>
        </w:rPr>
      </w:pPr>
      <w:r w:rsidRPr="00F06DDA">
        <w:rPr>
          <w:rFonts w:ascii="Times New Roman" w:hAnsi="Times New Roman" w:cs="Times New Roman"/>
          <w:b/>
          <w:sz w:val="28"/>
          <w:szCs w:val="28"/>
        </w:rPr>
        <w:t>ЛЕКЦИЯ 4</w:t>
      </w:r>
    </w:p>
    <w:p w:rsidR="00A01FC2" w:rsidRPr="00A01FC2" w:rsidRDefault="00A01FC2" w:rsidP="00A01FC2">
      <w:pPr>
        <w:spacing w:before="180" w:after="270" w:line="414" w:lineRule="atLeast"/>
        <w:outlineLvl w:val="0"/>
        <w:rPr>
          <w:rFonts w:ascii="Times New Roman" w:eastAsia="Times New Roman" w:hAnsi="Times New Roman" w:cs="Times New Roman"/>
          <w:color w:val="000000"/>
          <w:kern w:val="36"/>
          <w:sz w:val="35"/>
          <w:szCs w:val="35"/>
          <w:lang w:eastAsia="ru-RU"/>
        </w:rPr>
      </w:pPr>
      <w:r w:rsidRPr="00A01FC2">
        <w:rPr>
          <w:rFonts w:ascii="Times New Roman" w:eastAsia="Times New Roman" w:hAnsi="Times New Roman" w:cs="Times New Roman"/>
          <w:color w:val="000000"/>
          <w:kern w:val="36"/>
          <w:sz w:val="35"/>
          <w:szCs w:val="35"/>
          <w:lang w:eastAsia="ru-RU"/>
        </w:rPr>
        <w:t>Европейские технологии посева сахарной свеклы: оправдано ли их применение в России?</w:t>
      </w:r>
    </w:p>
    <w:p w:rsidR="00A01FC2" w:rsidRPr="00A01FC2" w:rsidRDefault="00A01FC2" w:rsidP="00A01FC2">
      <w:pPr>
        <w:shd w:val="clear" w:color="auto" w:fill="FFFFFF"/>
        <w:spacing w:before="180" w:after="180" w:line="336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01FC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Ни для кого не секрет, что сахарная свекла – одна из самых капризных и требующих к себе наибольшего внимания сельскохозяйственных культур. Помимо самого возделывания есть и ряд других проблем: это удаленность от пункта приёма, нестабильная цена на сахар (зависящая в большей степени от прихоти производителей сахара) и качества самого конечного продукта, такие как сахаристость и загрязненность. Но, несмотря на все это, сахарная свекла была и остается одной из самых прибыльных сельскохозяйственных культур.</w:t>
      </w:r>
    </w:p>
    <w:p w:rsidR="00A01FC2" w:rsidRPr="00A01FC2" w:rsidRDefault="00A01FC2" w:rsidP="00A01FC2">
      <w:pPr>
        <w:shd w:val="clear" w:color="auto" w:fill="FFFFFF"/>
        <w:spacing w:before="180" w:after="180" w:line="336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01FC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Как известно, основа хорошего урожая – это правильно и своевременно произведенный посев. В </w:t>
      </w:r>
      <w:proofErr w:type="gramStart"/>
      <w:r w:rsidRPr="00A01FC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связи</w:t>
      </w:r>
      <w:proofErr w:type="gramEnd"/>
      <w:r w:rsidRPr="00A01FC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с чем выбирать посевной агрегат необходимо заблаговременно и подойти к выбору ответственно. На сегодняшний день на рынке предлагается немало агрегатов предназначенных для посева </w:t>
      </w:r>
      <w:proofErr w:type="spellStart"/>
      <w:r w:rsidRPr="00A01FC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дражированных</w:t>
      </w:r>
      <w:proofErr w:type="spellEnd"/>
      <w:r w:rsidRPr="00A01FC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семян сахарной свеклы. Предлагаем рассмотреть технологии, применяемые для возделывания сахарной свеклы, на примере сеялки точного высева </w:t>
      </w:r>
      <w:proofErr w:type="spellStart"/>
      <w:r w:rsidRPr="00A01FC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Kverneland</w:t>
      </w:r>
      <w:proofErr w:type="spellEnd"/>
      <w:r w:rsidRPr="00A01FC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A01FC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Monopill</w:t>
      </w:r>
      <w:proofErr w:type="spellEnd"/>
      <w:r w:rsidRPr="00A01FC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поскольку данная машина хорошо себя зарекомендовала себя как среди крупных, так и среди мелких производителей сахарной свеклы.</w:t>
      </w:r>
    </w:p>
    <w:p w:rsidR="00A01FC2" w:rsidRDefault="00B662B4">
      <w:r>
        <w:rPr>
          <w:noProof/>
          <w:lang w:eastAsia="ru-RU"/>
        </w:rPr>
        <w:drawing>
          <wp:inline distT="0" distB="0" distL="0" distR="0">
            <wp:extent cx="5940425" cy="3960283"/>
            <wp:effectExtent l="19050" t="0" r="3175" b="0"/>
            <wp:docPr id="1" name="Рисунок 1" descr="C:\Users\User\Desktop\СОВРЕМЕННАЯ АГРОТЕХНИКА 2021 г\seyalka-kverneland-monopill-cont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ОВРЕМЕННАЯ АГРОТЕХНИКА 2021 г\seyalka-kverneland-monopill-conten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62B4" w:rsidRDefault="00B662B4"/>
    <w:p w:rsidR="00790B7D" w:rsidRDefault="00790B7D" w:rsidP="00790B7D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 xml:space="preserve">Фото. Механическая пропашная сеялка </w:t>
      </w:r>
      <w:proofErr w:type="spellStart"/>
      <w:r>
        <w:rPr>
          <w:rFonts w:ascii="Arial" w:hAnsi="Arial" w:cs="Arial"/>
          <w:color w:val="000000"/>
        </w:rPr>
        <w:t>Kverneland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Monopill</w:t>
      </w:r>
      <w:proofErr w:type="spellEnd"/>
      <w:r>
        <w:rPr>
          <w:rFonts w:ascii="Arial" w:hAnsi="Arial" w:cs="Arial"/>
          <w:color w:val="000000"/>
        </w:rPr>
        <w:t>.</w:t>
      </w:r>
    </w:p>
    <w:p w:rsidR="00790B7D" w:rsidRDefault="00790B7D" w:rsidP="00790B7D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Итак, одна из самых «старых» технологий, применяемых при производстве сахарной свеклы, предусматривает использование технологической колеи. </w:t>
      </w:r>
      <w:proofErr w:type="gramStart"/>
      <w:r>
        <w:rPr>
          <w:rFonts w:ascii="Arial" w:hAnsi="Arial" w:cs="Arial"/>
          <w:color w:val="000000"/>
        </w:rPr>
        <w:t>И</w:t>
      </w:r>
      <w:proofErr w:type="gramEnd"/>
      <w:r>
        <w:rPr>
          <w:rFonts w:ascii="Arial" w:hAnsi="Arial" w:cs="Arial"/>
          <w:color w:val="000000"/>
        </w:rPr>
        <w:t xml:space="preserve"> несмотря на то, что технология давно известная и, казалось бы, всеми уже опробованная и не по одному разу, споры вокруг неё не утихают и по сей день. Давайте попробуем вместе разобраться, каковы её реальные плюсы и минусы.</w:t>
      </w:r>
    </w:p>
    <w:p w:rsidR="00790B7D" w:rsidRDefault="00790B7D" w:rsidP="00790B7D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Специалисты подчеркивают два основных минуса использования технологической колеи при возделывании сахарной свеклы.</w:t>
      </w:r>
    </w:p>
    <w:p w:rsidR="00790B7D" w:rsidRDefault="00790B7D" w:rsidP="00790B7D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Во-первых, отрытая колея трактора – это риск водной эрозии почвы и потери урожая до 0,9%, ведь мы не засеяли 100% площади поля, а значит и не получим урожая с этой незасеянной площади. Итак, первый фактор – водная эрозия. Однако, при нашей годовой норме осадков, водная эрозия – факт, встречающийся крайне редко, как в средней полосе России, так и на юге. У нас по сравнению с Европой отмечается как раз нехватка влаги, да и распределение её не равномерно в течени</w:t>
      </w:r>
      <w:proofErr w:type="gramStart"/>
      <w:r>
        <w:rPr>
          <w:rFonts w:ascii="Arial" w:hAnsi="Arial" w:cs="Arial"/>
          <w:color w:val="000000"/>
        </w:rPr>
        <w:t>и</w:t>
      </w:r>
      <w:proofErr w:type="gramEnd"/>
      <w:r>
        <w:rPr>
          <w:rFonts w:ascii="Arial" w:hAnsi="Arial" w:cs="Arial"/>
          <w:color w:val="000000"/>
        </w:rPr>
        <w:t xml:space="preserve"> года, так как большую часть мы получаем в основном со снегом.</w:t>
      </w:r>
    </w:p>
    <w:p w:rsidR="00790B7D" w:rsidRDefault="00790B7D" w:rsidP="00790B7D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Во-вторых – потеря урожая. Она действительно есть, поскольку удобрения вносятся на 100% площади поля, да и гербицидную обработку проводят по всей поверхности поля. Но каков объем этих потерь в действительности? Количество проходов с закладкой технологической колеи разное и зависит от ширины захвата опрыскивателя. Соответственно, чем больше ширина штанги опрыскивателя, тем меньше проходов с закладкой технологической колеи и меньше потери урожая. Простейшие расчеты показывают, что при ширине штанги опрыскивателя в 24 метра потери составят всего лишь 0,5% урожая, а при 36 метрах – около 0,2%. Не такая это и катастрофическая цифра.</w:t>
      </w:r>
    </w:p>
    <w:p w:rsidR="00790B7D" w:rsidRDefault="00790B7D" w:rsidP="00790B7D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Что могут предложить производители техники для решения сложностей, связанных с применением данной технологии? </w:t>
      </w:r>
      <w:proofErr w:type="gramStart"/>
      <w:r>
        <w:rPr>
          <w:rFonts w:ascii="Arial" w:hAnsi="Arial" w:cs="Arial"/>
          <w:color w:val="000000"/>
        </w:rPr>
        <w:t xml:space="preserve">Например, сеялка </w:t>
      </w:r>
      <w:proofErr w:type="spellStart"/>
      <w:r>
        <w:rPr>
          <w:rFonts w:ascii="Arial" w:hAnsi="Arial" w:cs="Arial"/>
          <w:color w:val="000000"/>
        </w:rPr>
        <w:t>Monopill</w:t>
      </w:r>
      <w:proofErr w:type="spellEnd"/>
      <w:r>
        <w:rPr>
          <w:rFonts w:ascii="Arial" w:hAnsi="Arial" w:cs="Arial"/>
          <w:color w:val="000000"/>
        </w:rPr>
        <w:t xml:space="preserve"> с электроприводом может быть настроена таким образом, что высевающие секции, находящиеся справа и слева от неработающей (закладывающей технологическую колею), автоматически увеличат норму высева, уменьшив расстояние между семенами в рядах, «соседствующих» с технологической колеёй.</w:t>
      </w:r>
      <w:proofErr w:type="gramEnd"/>
      <w:r>
        <w:rPr>
          <w:rFonts w:ascii="Arial" w:hAnsi="Arial" w:cs="Arial"/>
          <w:color w:val="000000"/>
        </w:rPr>
        <w:t xml:space="preserve"> В данном случае это оправдано, так как из-за отсутствующего рядка площадь питания у этих растений будет больше и, соответственно, при большей густоте посева они смогут не отставать в развитии от остальных растений.</w:t>
      </w:r>
    </w:p>
    <w:p w:rsidR="00790B7D" w:rsidRDefault="00790B7D" w:rsidP="00790B7D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Теперь перейдем к плюсам применения данной технологии. В первую очередь технологическую колею хорошо видно, нет необходимости отсчитывать рядки и ставить вешки. Полностью отпадает необходимость использовать тракторы с узкой резиной, а даже наоборот, можно поставить резину </w:t>
      </w:r>
      <w:proofErr w:type="gramStart"/>
      <w:r>
        <w:rPr>
          <w:rFonts w:ascii="Arial" w:hAnsi="Arial" w:cs="Arial"/>
          <w:color w:val="000000"/>
        </w:rPr>
        <w:t>пошире</w:t>
      </w:r>
      <w:proofErr w:type="gramEnd"/>
      <w:r>
        <w:rPr>
          <w:rFonts w:ascii="Arial" w:hAnsi="Arial" w:cs="Arial"/>
          <w:color w:val="000000"/>
        </w:rPr>
        <w:t>, чтобы снизить давление на почву и, соответственно, её уплотнение. Оператор сможет производить работы на большей скорости, ведя машину по технологической колее шириной в 90 см как по автомагистрали, не боясь затоптать соседние ряды. Также мы получим экономию на «</w:t>
      </w:r>
      <w:proofErr w:type="spellStart"/>
      <w:r>
        <w:rPr>
          <w:rFonts w:ascii="Arial" w:hAnsi="Arial" w:cs="Arial"/>
          <w:color w:val="000000"/>
        </w:rPr>
        <w:t>непосеяных</w:t>
      </w:r>
      <w:proofErr w:type="spellEnd"/>
      <w:r>
        <w:rPr>
          <w:rFonts w:ascii="Arial" w:hAnsi="Arial" w:cs="Arial"/>
          <w:color w:val="000000"/>
        </w:rPr>
        <w:t xml:space="preserve">» семенах. А дооснастив сеялку маркерами технологической колеи, мы сможем без проблем при необходимости проводить и </w:t>
      </w:r>
      <w:proofErr w:type="spellStart"/>
      <w:r>
        <w:rPr>
          <w:rFonts w:ascii="Arial" w:hAnsi="Arial" w:cs="Arial"/>
          <w:color w:val="000000"/>
        </w:rPr>
        <w:t>довсходовую</w:t>
      </w:r>
      <w:proofErr w:type="spellEnd"/>
      <w:r>
        <w:rPr>
          <w:rFonts w:ascii="Arial" w:hAnsi="Arial" w:cs="Arial"/>
          <w:color w:val="000000"/>
        </w:rPr>
        <w:t xml:space="preserve"> обработку. Из всего вышеперечисленного можно сделать вывод, что применение технологической колеи при посеве сахарной свеклы не только удобно, но и выгодно. Основное преимущество достигается за счет ускорения процесса последующих обработок.</w:t>
      </w:r>
    </w:p>
    <w:p w:rsidR="00790B7D" w:rsidRDefault="00790B7D" w:rsidP="00790B7D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Следующая технология – </w:t>
      </w:r>
      <w:proofErr w:type="spellStart"/>
      <w:r>
        <w:rPr>
          <w:rFonts w:ascii="Arial" w:hAnsi="Arial" w:cs="Arial"/>
          <w:color w:val="000000"/>
        </w:rPr>
        <w:t>Geocontrol</w:t>
      </w:r>
      <w:proofErr w:type="spellEnd"/>
      <w:r>
        <w:rPr>
          <w:rFonts w:ascii="Arial" w:hAnsi="Arial" w:cs="Arial"/>
          <w:color w:val="000000"/>
        </w:rPr>
        <w:t>, а говоря проще – автоматическое отключение высевающих секций на основании данных от спутникового сигнала. Здесь все немного сложнее: для работы этой технологии требуется навигация, причем весьма точная. Для ее полноценной работы при посеве сахарной свеклы реальная (а не заявленная производителем) погрешность сигнала должна быть не более половины междурядья, а это 22,5 см.</w:t>
      </w:r>
    </w:p>
    <w:p w:rsidR="00B662B4" w:rsidRDefault="0049709E">
      <w:r>
        <w:rPr>
          <w:noProof/>
          <w:lang w:eastAsia="ru-RU"/>
        </w:rPr>
        <w:drawing>
          <wp:inline distT="0" distB="0" distL="0" distR="0">
            <wp:extent cx="5940425" cy="3221030"/>
            <wp:effectExtent l="19050" t="0" r="3175" b="0"/>
            <wp:docPr id="2" name="Рисунок 2" descr="C:\Users\User\Desktop\СОВРЕМЕННАЯ АГРОТЕХНИКА 2021 г\vshody-saharnoy-svekly-geocontrol-cont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ОВРЕМЕННАЯ АГРОТЕХНИКА 2021 г\vshody-saharnoy-svekly-geocontrol-conten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21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709E" w:rsidRDefault="0049709E"/>
    <w:p w:rsidR="007E168F" w:rsidRDefault="007E168F" w:rsidP="007E168F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Фото. Всходы сахарной свеклы посеянной по технологии GEOCONTROL./</w:t>
      </w:r>
      <w:proofErr w:type="spellStart"/>
      <w:r>
        <w:rPr>
          <w:rFonts w:ascii="Arial" w:hAnsi="Arial" w:cs="Arial"/>
          <w:color w:val="000000"/>
        </w:rPr>
        <w:t>p</w:t>
      </w:r>
      <w:proofErr w:type="spellEnd"/>
      <w:r>
        <w:rPr>
          <w:rFonts w:ascii="Arial" w:hAnsi="Arial" w:cs="Arial"/>
          <w:color w:val="000000"/>
        </w:rPr>
        <w:t>&gt;</w:t>
      </w:r>
    </w:p>
    <w:p w:rsidR="007E168F" w:rsidRDefault="007E168F" w:rsidP="007E168F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Минус у данной технологии один – это дополнительные инвестиции, как в саму сеялку (машина обязательно должна быть оснащена электроприводом), так и в дополнительное оборудование: навигационная система, лицензии для автоматической работы, оплата за спутниковый сигнал и прочее.</w:t>
      </w:r>
    </w:p>
    <w:p w:rsidR="007E168F" w:rsidRDefault="007E168F" w:rsidP="007E168F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Преимущество же технологии </w:t>
      </w:r>
      <w:proofErr w:type="spellStart"/>
      <w:r>
        <w:rPr>
          <w:rFonts w:ascii="Arial" w:hAnsi="Arial" w:cs="Arial"/>
          <w:color w:val="000000"/>
        </w:rPr>
        <w:t>Geocontrol</w:t>
      </w:r>
      <w:proofErr w:type="spellEnd"/>
      <w:r>
        <w:rPr>
          <w:rFonts w:ascii="Arial" w:hAnsi="Arial" w:cs="Arial"/>
          <w:color w:val="000000"/>
        </w:rPr>
        <w:t xml:space="preserve"> очевидно – это экономия семян. Во-первых, при работе на разворотной полосе за счет всегда точного отключения секций в одном и том же заданном месте, с чем не справится даже самый опытный оператор (где-то он не досеет метр, где-то пересеет два и т.д.). Во-вторых, при высеве «клиньев» или, говоря по-другому, при работе на полях сложной формы. Причем чем сложнее форма поля, тем более эффективным будет применение этой технологии. Клиенты, уже использующие такую технологию, говорят о реальной экономии до 5% семян во время посевной кампании. А сколько сейчас стоят хорошие семена с высоким коэффициентом всхожести, говорить не приходится.</w:t>
      </w:r>
    </w:p>
    <w:p w:rsidR="007E168F" w:rsidRDefault="007E168F" w:rsidP="007E168F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Но на этом плюсы этой технологии не заканчиваются. При работе с навигационной системой с точным сигналом можно отказаться от такой опции на сеялках как маркер. Тогда, в зависимости от ширины захвата посевного агрегата, экономия может составить до нескольких тысяч евро. Но и на посеве эта технология не заканчивается – для получения еще большей выгоды её можно применять и при внесении удобрений, и при опрыскивании, где также достигается ощутимая экономия расходного материала.</w:t>
      </w:r>
    </w:p>
    <w:p w:rsidR="007E168F" w:rsidRDefault="007E168F" w:rsidP="007E168F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И, наконец, самая «молодая» и только набирающая обороты на российском рынке технология – </w:t>
      </w:r>
      <w:proofErr w:type="spellStart"/>
      <w:r>
        <w:rPr>
          <w:rFonts w:ascii="Arial" w:hAnsi="Arial" w:cs="Arial"/>
          <w:color w:val="000000"/>
        </w:rPr>
        <w:t>Geoseed</w:t>
      </w:r>
      <w:proofErr w:type="spellEnd"/>
      <w:r>
        <w:rPr>
          <w:rFonts w:ascii="Arial" w:hAnsi="Arial" w:cs="Arial"/>
          <w:color w:val="000000"/>
        </w:rPr>
        <w:t>, или расстановка семян на поле в заданном порядке друг относительно друга. Данная технология предлагает два варианта расстановки семян – квадратный (где семена раскладываются параллельно друг другу) и треугольный (где семена в рядах смещены относительно соседнего ряда на половину расстояния между семенами в ряду). Исходя из агроклиматических условий нашей страны, нам больше подходит именно второй вариант – треугольный или, как его еще любят называть сельхозпроизводители – «шахматный посев». Данная технология предусматривает установку дополнительного оборудования на сеялку – датчиков синхронизации высевающих дисков. Благодаря этому на терминале управления машиной можно будет выбрать тот или иной способ расстановки, а всё остальное машина сделает в автоматическом режиме. Что примечательно, для работы этой технологии не нужно никакого дополнительного оборудования (кроме самих датчиков), таких как навигация, лицензии и прочее.</w:t>
      </w:r>
    </w:p>
    <w:p w:rsidR="007E168F" w:rsidRDefault="007E168F" w:rsidP="007E168F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Какие же преимущества мы получим при использовании данной технологии? Во-первых, это прирост урожайности. За счет оптимального распределения растений по поверхности поля каждое из них получит одинаковую площадь питания, что будет способствовать получению одинаковых по размеру и кондиции корнеплодов, что, в свою очередь, позволит минимизировать механические потери при уборке свеклоуборочным комбайном. Во-вторых, именно при уборке свеклы, посеянной с «шахматной» расстановкой, комбайн одновременно будет выкорчевывать только три рядка, а чуть позже последующие три. Таким </w:t>
      </w:r>
      <w:proofErr w:type="gramStart"/>
      <w:r>
        <w:rPr>
          <w:rFonts w:ascii="Arial" w:hAnsi="Arial" w:cs="Arial"/>
          <w:color w:val="000000"/>
        </w:rPr>
        <w:t>образом</w:t>
      </w:r>
      <w:proofErr w:type="gramEnd"/>
      <w:r>
        <w:rPr>
          <w:rFonts w:ascii="Arial" w:hAnsi="Arial" w:cs="Arial"/>
          <w:color w:val="000000"/>
        </w:rPr>
        <w:t xml:space="preserve"> мы сделаем поток свеклы, поступающей в комбайн, более равномерным, что крайне положительно скажется на процессе очистки корнеплодов от земли и увеличении производительности комбайна.</w:t>
      </w:r>
    </w:p>
    <w:p w:rsidR="0049709E" w:rsidRDefault="0049709E"/>
    <w:p w:rsidR="00F761F6" w:rsidRDefault="00F761F6"/>
    <w:p w:rsidR="00F761F6" w:rsidRDefault="00F761F6">
      <w:r>
        <w:rPr>
          <w:noProof/>
          <w:lang w:eastAsia="ru-RU"/>
        </w:rPr>
        <w:drawing>
          <wp:inline distT="0" distB="0" distL="0" distR="0">
            <wp:extent cx="5940425" cy="3960283"/>
            <wp:effectExtent l="19050" t="0" r="3175" b="0"/>
            <wp:docPr id="3" name="Рисунок 3" descr="C:\Users\User\Desktop\СОВРЕМЕННАЯ АГРОТЕХНИКА 2021 г\shahmatnyy-posev-saharnoy-svekly-cont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ОВРЕМЕННАЯ АГРОТЕХНИКА 2021 г\shahmatnyy-posev-saharnoy-svekly-conten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61F6" w:rsidRDefault="00F761F6"/>
    <w:p w:rsidR="00F06DDA" w:rsidRDefault="00F06DDA" w:rsidP="00F06DDA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Фото. Посев сахарной свеклы по технологии GEOSEED (шахматный).</w:t>
      </w:r>
    </w:p>
    <w:p w:rsidR="00F06DDA" w:rsidRDefault="00F06DDA" w:rsidP="00F06DDA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Теперь немного о цифрах. Первый раз применить «шахматный» посев мы попробовали совместно с одним из крупнейших </w:t>
      </w:r>
      <w:proofErr w:type="spellStart"/>
      <w:r>
        <w:rPr>
          <w:rFonts w:ascii="Arial" w:hAnsi="Arial" w:cs="Arial"/>
          <w:color w:val="000000"/>
        </w:rPr>
        <w:t>агрохолдингов</w:t>
      </w:r>
      <w:proofErr w:type="spellEnd"/>
      <w:r>
        <w:rPr>
          <w:rFonts w:ascii="Arial" w:hAnsi="Arial" w:cs="Arial"/>
          <w:color w:val="000000"/>
        </w:rPr>
        <w:t xml:space="preserve"> Татарстана, занимающихся производством сахарной свеклы, в 2016 году. Эксперимент ставился в хозяйстве, куда были поставлены 4 новые сеялки </w:t>
      </w:r>
      <w:proofErr w:type="spellStart"/>
      <w:r>
        <w:rPr>
          <w:rFonts w:ascii="Arial" w:hAnsi="Arial" w:cs="Arial"/>
          <w:color w:val="000000"/>
        </w:rPr>
        <w:t>Monopill</w:t>
      </w:r>
      <w:proofErr w:type="spellEnd"/>
      <w:r>
        <w:rPr>
          <w:rFonts w:ascii="Arial" w:hAnsi="Arial" w:cs="Arial"/>
          <w:color w:val="000000"/>
        </w:rPr>
        <w:t>, две из которых были оснащены датчиками для синхронизации работы высевающих дисков.</w:t>
      </w:r>
    </w:p>
    <w:p w:rsidR="00F06DDA" w:rsidRDefault="00F06DDA" w:rsidP="00F06DDA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Результат удивил всех – прирост урожайности составил свыше 13%. В 2017 году нашей компанией на российский рынок было поставлено более 30 агрегатов, оснащенных оборудованием для применения данной технологии. После уборки сахарной свеклы наши клиенты, использующие эти машины, сообщили о приросте урожайности от 5 до 15% в зависимости от ряда факторов. Но даже если мы рассмотрим минимальный вариант – прирост урожайности в 5% – одного года будет достаточно, чтобы данная технология полностью окупила себя и начала приносить прибыль.</w:t>
      </w:r>
    </w:p>
    <w:p w:rsidR="00F06DDA" w:rsidRDefault="00F06DDA" w:rsidP="00F06DDA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Таким образом, рассмотрев три технологии посева сахарной свеклы которые повсеместно применяются в Европе, мы сможем смело ответить на </w:t>
      </w:r>
      <w:proofErr w:type="gramStart"/>
      <w:r>
        <w:rPr>
          <w:rFonts w:ascii="Arial" w:hAnsi="Arial" w:cs="Arial"/>
          <w:color w:val="000000"/>
        </w:rPr>
        <w:t>вопрос</w:t>
      </w:r>
      <w:proofErr w:type="gramEnd"/>
      <w:r>
        <w:rPr>
          <w:rFonts w:ascii="Arial" w:hAnsi="Arial" w:cs="Arial"/>
          <w:color w:val="000000"/>
        </w:rPr>
        <w:t xml:space="preserve"> поставленный в заголовке данной статьи – да, применение данных технологий и в российских реалиях сулит неплохую выгоду сельхозпроизводителю.</w:t>
      </w:r>
    </w:p>
    <w:p w:rsidR="00F761F6" w:rsidRDefault="00F761F6"/>
    <w:p w:rsidR="00F761F6" w:rsidRDefault="00F761F6"/>
    <w:p w:rsidR="00F761F6" w:rsidRPr="0096320B" w:rsidRDefault="0008245D" w:rsidP="0096320B">
      <w:pPr>
        <w:shd w:val="clear" w:color="auto" w:fill="FFFFFF"/>
        <w:spacing w:before="180" w:after="270" w:line="414" w:lineRule="atLeast"/>
        <w:outlineLvl w:val="0"/>
        <w:rPr>
          <w:rFonts w:ascii="Arial" w:eastAsia="Times New Roman" w:hAnsi="Arial" w:cs="Arial"/>
          <w:color w:val="000000"/>
          <w:kern w:val="36"/>
          <w:sz w:val="35"/>
          <w:szCs w:val="35"/>
          <w:lang w:eastAsia="ru-RU"/>
        </w:rPr>
      </w:pPr>
      <w:r w:rsidRPr="0008245D">
        <w:rPr>
          <w:rFonts w:ascii="Arial" w:eastAsia="Times New Roman" w:hAnsi="Arial" w:cs="Arial"/>
          <w:color w:val="000000"/>
          <w:kern w:val="36"/>
          <w:sz w:val="35"/>
          <w:szCs w:val="35"/>
          <w:lang w:eastAsia="ru-RU"/>
        </w:rPr>
        <w:t>Космический мониторинг сельскохозяйственного землепользования Калужской области</w:t>
      </w:r>
    </w:p>
    <w:p w:rsidR="000176DC" w:rsidRDefault="000176DC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Калужская область, расположенная в центре Европейской части России, является типичным регионом сельскохозяйственного землепользования нечерноземной зоны. Последствия системного кризиса, с которым столкнулся аграрный сектор России в последние 20 лет, и в особенности нечерноземные ее регионы, прослеживаются здесь в полной мере. Однако, благодаря активно внедряемой в регионе инвестиционной политике, и в сельскохозяйственной отрасли постепенно происходят положительные изменения.</w:t>
      </w:r>
    </w:p>
    <w:p w:rsidR="000176DC" w:rsidRDefault="000176DC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ГБУ Калужской области «Агентство информационных технологий Калужской области» (ГБУ «</w:t>
      </w:r>
      <w:proofErr w:type="spellStart"/>
      <w:r>
        <w:rPr>
          <w:rFonts w:ascii="Arial" w:hAnsi="Arial" w:cs="Arial"/>
          <w:color w:val="000000"/>
        </w:rPr>
        <w:t>Калугаинформтех</w:t>
      </w:r>
      <w:proofErr w:type="spellEnd"/>
      <w:r>
        <w:rPr>
          <w:rFonts w:ascii="Arial" w:hAnsi="Arial" w:cs="Arial"/>
          <w:color w:val="000000"/>
        </w:rPr>
        <w:t xml:space="preserve">»), флагман региона в сфере информатизации, на протяжении нескольких лет активно использует в своей деятельности современные ГИС-технологии и данные дистанционного зондирования Земли. В 2013 году ГБУ </w:t>
      </w:r>
      <w:proofErr w:type="gramStart"/>
      <w:r>
        <w:rPr>
          <w:rFonts w:ascii="Arial" w:hAnsi="Arial" w:cs="Arial"/>
          <w:color w:val="000000"/>
        </w:rPr>
        <w:t>КО</w:t>
      </w:r>
      <w:proofErr w:type="gramEnd"/>
      <w:r>
        <w:rPr>
          <w:rFonts w:ascii="Arial" w:hAnsi="Arial" w:cs="Arial"/>
          <w:color w:val="000000"/>
        </w:rPr>
        <w:t xml:space="preserve"> «Центр «Кадастр» практически завершило формирование электронной базы о собственниках и пользователях земельных участков, включая земли сельскохозяйственного назначения. По заказу ГБУ «</w:t>
      </w:r>
      <w:proofErr w:type="spellStart"/>
      <w:r>
        <w:rPr>
          <w:rFonts w:ascii="Arial" w:hAnsi="Arial" w:cs="Arial"/>
          <w:color w:val="000000"/>
        </w:rPr>
        <w:t>Калугаинформтех</w:t>
      </w:r>
      <w:proofErr w:type="spellEnd"/>
      <w:r>
        <w:rPr>
          <w:rFonts w:ascii="Arial" w:hAnsi="Arial" w:cs="Arial"/>
          <w:color w:val="000000"/>
        </w:rPr>
        <w:t>» в 2012-2014 годах компания «</w:t>
      </w:r>
      <w:proofErr w:type="spellStart"/>
      <w:r>
        <w:rPr>
          <w:rFonts w:ascii="Arial" w:hAnsi="Arial" w:cs="Arial"/>
          <w:color w:val="000000"/>
        </w:rPr>
        <w:t>Совзонд</w:t>
      </w:r>
      <w:proofErr w:type="spellEnd"/>
      <w:r>
        <w:rPr>
          <w:rFonts w:ascii="Arial" w:hAnsi="Arial" w:cs="Arial"/>
          <w:color w:val="000000"/>
        </w:rPr>
        <w:t>» выполняла комплекс работ по мониторингу сельскохозяйственных земель Калужской области с использованием космических снимков. Работы выполнялись в рамках подпрограммы «Повышение эффективности использования информационно-коммуникационных технологий, а также результатов космической деятельности на территории Калужской области» государственной программы «Информационное общество и повышение качества государственных и муниципальных услуг в Калужской области». Целью работ является организация непрерывного получения актуальной и достоверной информации для повышения ситуационной осведомленности и принятия управленческих решений в агропромышленном комплексе Калужской области на основе данных ДЗЗ.</w:t>
      </w:r>
    </w:p>
    <w:p w:rsidR="000176DC" w:rsidRDefault="000176DC" w:rsidP="000176DC">
      <w:pPr>
        <w:pStyle w:val="2"/>
        <w:shd w:val="clear" w:color="auto" w:fill="FFFFFF"/>
        <w:spacing w:before="270" w:after="180" w:line="360" w:lineRule="atLeast"/>
        <w:rPr>
          <w:rFonts w:ascii="Arial" w:hAnsi="Arial" w:cs="Arial"/>
          <w:b w:val="0"/>
          <w:bCs w:val="0"/>
          <w:color w:val="000000"/>
          <w:sz w:val="30"/>
          <w:szCs w:val="30"/>
        </w:rPr>
      </w:pPr>
      <w:r>
        <w:rPr>
          <w:rFonts w:ascii="Arial" w:hAnsi="Arial" w:cs="Arial"/>
          <w:b w:val="0"/>
          <w:bCs w:val="0"/>
          <w:color w:val="000000"/>
          <w:sz w:val="30"/>
          <w:szCs w:val="30"/>
        </w:rPr>
        <w:t>Особенности сельскохозяйственного землепользования Калужской области</w:t>
      </w:r>
    </w:p>
    <w:p w:rsidR="000176DC" w:rsidRDefault="000176DC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Землями сельскохозяйственного назначения по состоянию на начало 2014 года в Калужской области занято 1144,6 тыс. га, или 61,3% всего земельного фонда. Структура распределения сельскохозяйственных земель по типам представлена на рисунке 1.</w:t>
      </w:r>
    </w:p>
    <w:p w:rsidR="0008245D" w:rsidRDefault="0008245D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</w:p>
    <w:p w:rsidR="00BD3E00" w:rsidRDefault="00BD3E00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5715000" cy="3810000"/>
            <wp:effectExtent l="19050" t="0" r="0" b="0"/>
            <wp:docPr id="4" name="Рисунок 1" descr="C:\Users\User\Desktop\СОВРЕМЕННАЯ АГРОТЕХНИКА 2021 г\struktura-zemel-kalugi-cont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ОВРЕМЕННАЯ АГРОТЕХНИКА 2021 г\struktura-zemel-kalugi-conten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3E00" w:rsidRDefault="00BD3E00" w:rsidP="00BD3E00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Рис. 1. Структура сельскохозяйственных земель Калужской области.</w:t>
      </w:r>
    </w:p>
    <w:p w:rsidR="00BD3E00" w:rsidRDefault="00BD3E00" w:rsidP="00BD3E00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Одной из главных проблем сельскохозяйственного землепользования Калужской области, является забрасывание земель, и как следствие, зарастание сельскохозяйственных полей кустарником и мелколесьем. Главным фактором, сдерживающим развитие сельского хозяйства, является низкое потенциальное плодородие преобладающих дерново-подзолистых почв. Содержание гумуса колеблется в пределах от 1,4% до 2%, следовательно, без внесения органических удобрений получение высоких урожаев не представляется возможным. Почвы региона также характеризуются повышенной кислотностью и нуждаются в известковании и иных улучшающих агрохимических и агротехнических мероприятиях. Более высоким плодородием отличаются серые лесные почвы, распространенные в центральной и восточной части области, но и они зачастую заброшены. Значительная часть земель в южных районах области подвержена радиоактивному загрязнению.</w:t>
      </w:r>
    </w:p>
    <w:p w:rsidR="00BD3E00" w:rsidRDefault="00BD3E00" w:rsidP="00BD3E00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Природно-климатические особенности региона и экономическая ситуация также оказывает влияние на характер сельскохозяйственного землепользования Калужской области. Сельскохозяйственные угодья чередуются с лесными, болотными и луговыми массивами. Экономическая ситуация 90-х годов ХХ века характеризовалась развалом хозяйствующих субъектов советской эпохи и, как следствие, тотальным прекращением использования сельскохозяйственных земель по их назначению. В результате активизировались процессы деградации земель: зарастание древесно-кустарниковой растительностью, засорение, заболачивание, проникновение вредных </w:t>
      </w:r>
      <w:proofErr w:type="spellStart"/>
      <w:r>
        <w:rPr>
          <w:rFonts w:ascii="Arial" w:hAnsi="Arial" w:cs="Arial"/>
          <w:color w:val="000000"/>
        </w:rPr>
        <w:t>инвазивных</w:t>
      </w:r>
      <w:proofErr w:type="spellEnd"/>
      <w:r>
        <w:rPr>
          <w:rFonts w:ascii="Arial" w:hAnsi="Arial" w:cs="Arial"/>
          <w:color w:val="000000"/>
        </w:rPr>
        <w:t xml:space="preserve"> видов растений. Сокращение затрат на внесение удобрений привело к повсеместному снижению плодородия почв [1, 2].</w:t>
      </w:r>
    </w:p>
    <w:p w:rsidR="00BD3E00" w:rsidRDefault="00BD3E00" w:rsidP="00BD3E00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В настоящее время около половины земель сельскохозяйственного назначения находится в государственной и муниципальной собственности, остальные земли принадлежат физическим и юридическим лицам (</w:t>
      </w:r>
      <w:proofErr w:type="spellStart"/>
      <w:r>
        <w:rPr>
          <w:rFonts w:ascii="Arial" w:hAnsi="Arial" w:cs="Arial"/>
          <w:color w:val="000000"/>
        </w:rPr>
        <w:t>агрохолдингам</w:t>
      </w:r>
      <w:proofErr w:type="spellEnd"/>
      <w:r>
        <w:rPr>
          <w:rFonts w:ascii="Arial" w:hAnsi="Arial" w:cs="Arial"/>
          <w:color w:val="000000"/>
        </w:rPr>
        <w:t>, крестьянским фермерским хозяйствам, личным подсобным хозяйствам граждан). Насчитывается свыше 320 сельскохозяйственных организаций, около 2300 крестьянских фермерских хозяйств и свыше 106 тысяч владельцев личных подсобных хозяйств [4].</w:t>
      </w:r>
    </w:p>
    <w:p w:rsidR="00BD3E00" w:rsidRDefault="00BD3E00" w:rsidP="00BD3E00">
      <w:pPr>
        <w:pStyle w:val="2"/>
        <w:shd w:val="clear" w:color="auto" w:fill="FFFFFF"/>
        <w:spacing w:before="270" w:after="180" w:line="360" w:lineRule="atLeast"/>
        <w:rPr>
          <w:rFonts w:ascii="Arial" w:hAnsi="Arial" w:cs="Arial"/>
          <w:b w:val="0"/>
          <w:bCs w:val="0"/>
          <w:color w:val="000000"/>
          <w:sz w:val="30"/>
          <w:szCs w:val="30"/>
        </w:rPr>
      </w:pPr>
      <w:r>
        <w:rPr>
          <w:rFonts w:ascii="Arial" w:hAnsi="Arial" w:cs="Arial"/>
          <w:b w:val="0"/>
          <w:bCs w:val="0"/>
          <w:color w:val="000000"/>
          <w:sz w:val="30"/>
          <w:szCs w:val="30"/>
        </w:rPr>
        <w:t>Анализ использования сельскохозяйственных угодий по данным дистанционного зондирования Земли (ДЗЗ)</w:t>
      </w:r>
    </w:p>
    <w:p w:rsidR="00BD3E00" w:rsidRDefault="00BD3E00" w:rsidP="00BD3E00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proofErr w:type="gramStart"/>
      <w:r>
        <w:rPr>
          <w:rFonts w:ascii="Arial" w:hAnsi="Arial" w:cs="Arial"/>
          <w:color w:val="000000"/>
        </w:rPr>
        <w:t>В ходе выполнения работ для ГБУ «</w:t>
      </w:r>
      <w:proofErr w:type="spellStart"/>
      <w:r>
        <w:rPr>
          <w:rFonts w:ascii="Arial" w:hAnsi="Arial" w:cs="Arial"/>
          <w:color w:val="000000"/>
        </w:rPr>
        <w:t>Калугаинформтех</w:t>
      </w:r>
      <w:proofErr w:type="spellEnd"/>
      <w:r>
        <w:rPr>
          <w:rFonts w:ascii="Arial" w:hAnsi="Arial" w:cs="Arial"/>
          <w:color w:val="000000"/>
        </w:rPr>
        <w:t xml:space="preserve">» по информационному обеспечению агропромышленного комплекса Калужской области в 2014 году было выполнено двукратное безоблачное покрытие территории области космическими снимками </w:t>
      </w:r>
      <w:proofErr w:type="spellStart"/>
      <w:r>
        <w:rPr>
          <w:rFonts w:ascii="Arial" w:hAnsi="Arial" w:cs="Arial"/>
          <w:color w:val="000000"/>
        </w:rPr>
        <w:t>RapidEye</w:t>
      </w:r>
      <w:proofErr w:type="spellEnd"/>
      <w:r>
        <w:rPr>
          <w:rFonts w:ascii="Arial" w:hAnsi="Arial" w:cs="Arial"/>
          <w:color w:val="000000"/>
        </w:rPr>
        <w:t xml:space="preserve"> (май и сентябрь 2014 г, пространственное разрешение 6,5 м) и многократное покрытие общедоступными снимками </w:t>
      </w:r>
      <w:proofErr w:type="spellStart"/>
      <w:r>
        <w:rPr>
          <w:rFonts w:ascii="Arial" w:hAnsi="Arial" w:cs="Arial"/>
          <w:color w:val="000000"/>
        </w:rPr>
        <w:t>Landsat</w:t>
      </w:r>
      <w:proofErr w:type="spellEnd"/>
      <w:r>
        <w:rPr>
          <w:rFonts w:ascii="Arial" w:hAnsi="Arial" w:cs="Arial"/>
          <w:color w:val="000000"/>
        </w:rPr>
        <w:t xml:space="preserve"> 8 (пространственное разрешение 30 м) (рисунок 2) компании «</w:t>
      </w:r>
      <w:proofErr w:type="spellStart"/>
      <w:r>
        <w:rPr>
          <w:rFonts w:ascii="Arial" w:hAnsi="Arial" w:cs="Arial"/>
          <w:color w:val="000000"/>
        </w:rPr>
        <w:t>Совзонд</w:t>
      </w:r>
      <w:proofErr w:type="spellEnd"/>
      <w:r>
        <w:rPr>
          <w:rFonts w:ascii="Arial" w:hAnsi="Arial" w:cs="Arial"/>
          <w:color w:val="000000"/>
        </w:rPr>
        <w:t>» были созданы тематические продукты, характеризующие структуру и состояние сельскохозяйственных</w:t>
      </w:r>
      <w:proofErr w:type="gramEnd"/>
      <w:r>
        <w:rPr>
          <w:rFonts w:ascii="Arial" w:hAnsi="Arial" w:cs="Arial"/>
          <w:color w:val="000000"/>
        </w:rPr>
        <w:t xml:space="preserve"> земель области. Дешифрирование и последующие аналитические расчеты производились с использованием векторного слоя земель сельскохозяйственного назначения в разрезе полей (материалы предоставлены ГБУ «</w:t>
      </w:r>
      <w:proofErr w:type="spellStart"/>
      <w:r>
        <w:rPr>
          <w:rFonts w:ascii="Arial" w:hAnsi="Arial" w:cs="Arial"/>
          <w:color w:val="000000"/>
        </w:rPr>
        <w:t>Калугаинформтех</w:t>
      </w:r>
      <w:proofErr w:type="spellEnd"/>
      <w:r>
        <w:rPr>
          <w:rFonts w:ascii="Arial" w:hAnsi="Arial" w:cs="Arial"/>
          <w:color w:val="000000"/>
        </w:rPr>
        <w:t>»). В ряде случаев границы полей редактировались в соответствии с фактическими рабочими участками севооборота 2014 года.</w:t>
      </w:r>
    </w:p>
    <w:p w:rsidR="00BD3E00" w:rsidRDefault="00BD3E00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5715000" cy="2628900"/>
            <wp:effectExtent l="19050" t="0" r="0" b="0"/>
            <wp:docPr id="5" name="Рисунок 2" descr="C:\Users\User\Desktop\СОВРЕМЕННАЯ АГРОТЕХНИКА 2021 г\pokrytie-snimkami-rapideye-cont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ОВРЕМЕННАЯ АГРОТЕХНИКА 2021 г\pokrytie-snimkami-rapideye-content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3E00" w:rsidRDefault="00BD3E00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</w:p>
    <w:p w:rsidR="00BD3E00" w:rsidRDefault="00BD3E00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</w:p>
    <w:p w:rsidR="00BD3E00" w:rsidRDefault="00BD3E00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</w:p>
    <w:p w:rsidR="00BD3E00" w:rsidRPr="00BD3E00" w:rsidRDefault="00BD3E00" w:rsidP="00BD3E00">
      <w:pPr>
        <w:shd w:val="clear" w:color="auto" w:fill="FFFFFF"/>
        <w:spacing w:before="180" w:after="180" w:line="336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D3E0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Рис. 2. Покрытие Калужской области снимками </w:t>
      </w:r>
      <w:proofErr w:type="spellStart"/>
      <w:r w:rsidRPr="00BD3E0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RapidEye</w:t>
      </w:r>
      <w:proofErr w:type="spellEnd"/>
      <w:r w:rsidRPr="00BD3E0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за май (слева) и сентябрь (справа).</w:t>
      </w:r>
    </w:p>
    <w:p w:rsidR="00BD3E00" w:rsidRPr="00BD3E00" w:rsidRDefault="00BD3E00" w:rsidP="00BD3E00">
      <w:pPr>
        <w:shd w:val="clear" w:color="auto" w:fill="FFFFFF"/>
        <w:spacing w:before="180" w:after="180" w:line="336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D3E0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 результатам дешифрирования разновременных мультиспектральных снимков были созданы карты зарастания сельскохозяйственных угодий древесно-кустарниковой растительностью, а на их основе – карты фактического использования сельскохозяйственных угодий. Все карты создавались для трёх масштабных уровней: отдельных полей, сельскохозяйственных предприятий и муниципальных образований.</w:t>
      </w:r>
    </w:p>
    <w:p w:rsidR="00BD3E00" w:rsidRPr="00BD3E00" w:rsidRDefault="00BD3E00" w:rsidP="00BD3E00">
      <w:pPr>
        <w:shd w:val="clear" w:color="auto" w:fill="FFFFFF"/>
        <w:spacing w:before="180" w:after="180" w:line="336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D3E0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Дешифрирование древесно-кустарниковой растительности осуществлялось на уровне отдельных полей и рабочих участков (контуров) методом полуавтоматической классификации (с обучением). В первую очередь было выполнено дешифрирование участков произрастания древесно-кустарниковой растительности на сельскохозяйственных угодьях с получением растрового слоя, соответствующего заросшим участкам. Данный слой был подвергнут дальнейшему визуальному анализу и редактированию для исключения неверно распознанных объектов и добавления объектов, которые были пропущены. Результирующий слой представлен на рисунке 3.</w:t>
      </w:r>
    </w:p>
    <w:p w:rsidR="00BD3E00" w:rsidRPr="00BD3E00" w:rsidRDefault="00BD3E00" w:rsidP="00BD3E0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715000" cy="4343400"/>
            <wp:effectExtent l="19050" t="0" r="0" b="0"/>
            <wp:docPr id="6" name="Рисунок 3" descr="Распространение древесно-кустарниковой растительности в пределах контуров сельскохозяйственных земе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аспространение древесно-кустарниковой растительности в пределах контуров сельскохозяйственных земель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34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3E00" w:rsidRDefault="00BD3E00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</w:p>
    <w:p w:rsidR="00310837" w:rsidRDefault="00310837" w:rsidP="00310837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Рис. 3. Распространение древесно-кустарниковой растительности в пределах контуров сельскохозяйственных земель.</w:t>
      </w:r>
    </w:p>
    <w:p w:rsidR="00310837" w:rsidRDefault="00310837" w:rsidP="00310837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При помощи растрового слоя участков произрастания древесно-кустарниковой растительности была рассчитана статистика зарастания угодий в пределах полей, сельскохозяйственных организаций и муниципальных образований. Выполнено ранжирование угодий по степени зарастания (рисунок 4). Степень зарастания рассчитана для каждого сельскохозяйственного угодья Калужской области. Знание этой информации позволяет подготовить проекты мелиоративных мероприятий в разрезе отдельных полей, сельскохозяйственных предприятий и муниципальных образований.</w:t>
      </w:r>
    </w:p>
    <w:p w:rsidR="0008245D" w:rsidRDefault="00367FDF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5940425" cy="4197900"/>
            <wp:effectExtent l="19050" t="0" r="3175" b="0"/>
            <wp:docPr id="7" name="Рисунок 5" descr="C:\Users\User\Desktop\СОВРЕМЕННАЯ АГРОТЕХНИКА 2021 г\ranzhirovanie-po-stepeni-zarastaniya-cont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СОВРЕМЕННАЯ АГРОТЕХНИКА 2021 г\ranzhirovanie-po-stepeni-zarastaniya-content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7FDF" w:rsidRDefault="00367FDF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</w:p>
    <w:p w:rsidR="00367FDF" w:rsidRPr="00367FDF" w:rsidRDefault="00367FDF" w:rsidP="00367FDF">
      <w:pPr>
        <w:shd w:val="clear" w:color="auto" w:fill="FFFFFF"/>
        <w:spacing w:before="180" w:after="180" w:line="336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67F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Рис. 4. Ранжирование угодий по степени зарастания. Слева – фрагмент (</w:t>
      </w:r>
      <w:proofErr w:type="spellStart"/>
      <w:r w:rsidRPr="00367F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Мещовский</w:t>
      </w:r>
      <w:proofErr w:type="spellEnd"/>
      <w:r w:rsidRPr="00367F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р-н Калужской обл.) тематического слоя распространения древесно-кустарниковой растительности. Справа – соответствующий фрагмент картограммы степени зарастания сельхозугодий древесно-кустарниковой растительностью.</w:t>
      </w:r>
    </w:p>
    <w:p w:rsidR="00367FDF" w:rsidRPr="00367FDF" w:rsidRDefault="00367FDF" w:rsidP="00367FDF">
      <w:pPr>
        <w:shd w:val="clear" w:color="auto" w:fill="FFFFFF"/>
        <w:spacing w:before="180" w:after="180" w:line="336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67F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Исходя из степени зарастания каждого контура древесно-кустарниковой растительностью, а так же его фактического направления использования (установлено визуально по снимкам и атрибутам векторного слоя полей), он относился к одному из 7 классов. Перечень и характеристики классов приведены в таблице 1, распределение по районам – на рисунке 5.</w:t>
      </w:r>
    </w:p>
    <w:p w:rsidR="00367FDF" w:rsidRDefault="00367FDF" w:rsidP="00367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499570" cy="4295775"/>
            <wp:effectExtent l="19050" t="0" r="5880" b="0"/>
            <wp:docPr id="8" name="Рисунок 6" descr="Структура сельскохозяйственного землепользования Калужской обла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Структура сельскохозяйственного землепользования Калужской области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1064" cy="42969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7FDF" w:rsidRDefault="00367FDF" w:rsidP="00367FD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367FDF" w:rsidRDefault="007709C7" w:rsidP="00367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7458534"/>
            <wp:effectExtent l="19050" t="0" r="3175" b="0"/>
            <wp:docPr id="9" name="Рисунок 8" descr="C:\Users\User\Desktop\СОВРЕМЕННАЯ АГРОТЕХНИКА 2021 г\struktura-zemel-munitsipal-cont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СОВРЕМЕННАЯ АГРОТЕХНИКА 2021 г\struktura-zemel-munitsipal-content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58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09C7" w:rsidRDefault="007709C7" w:rsidP="00367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709C7" w:rsidRDefault="007709C7" w:rsidP="007709C7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Рис. 5. Структура сельскохозяйственных земель по муниципальным районам (условные знаки приведены в таблице 1).</w:t>
      </w:r>
    </w:p>
    <w:p w:rsidR="007709C7" w:rsidRDefault="007709C7" w:rsidP="007709C7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Исходные снимки и результаты их обработки: тематические растровые и векторные слои, характеризирующие состояние сельскохозяйственных земель области, предоставлены в виде ГИС-проекта и опубликованы на </w:t>
      </w:r>
      <w:proofErr w:type="spellStart"/>
      <w:r>
        <w:rPr>
          <w:rFonts w:ascii="Arial" w:hAnsi="Arial" w:cs="Arial"/>
          <w:color w:val="000000"/>
        </w:rPr>
        <w:t>геоинформационном</w:t>
      </w:r>
      <w:proofErr w:type="spellEnd"/>
      <w:r>
        <w:rPr>
          <w:rFonts w:ascii="Arial" w:hAnsi="Arial" w:cs="Arial"/>
          <w:color w:val="000000"/>
        </w:rPr>
        <w:t xml:space="preserve"> портале Калужской области.</w:t>
      </w:r>
    </w:p>
    <w:p w:rsidR="007709C7" w:rsidRDefault="007709C7" w:rsidP="007709C7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По результатам тематической обработки и проведенного </w:t>
      </w:r>
      <w:proofErr w:type="spellStart"/>
      <w:r>
        <w:rPr>
          <w:rFonts w:ascii="Arial" w:hAnsi="Arial" w:cs="Arial"/>
          <w:color w:val="000000"/>
        </w:rPr>
        <w:t>геоинформационного</w:t>
      </w:r>
      <w:proofErr w:type="spellEnd"/>
      <w:r>
        <w:rPr>
          <w:rFonts w:ascii="Arial" w:hAnsi="Arial" w:cs="Arial"/>
          <w:color w:val="000000"/>
        </w:rPr>
        <w:t xml:space="preserve"> анализа можно сделать ряд выводов о текущем сельскохозяйственном землепользовании Калужской области. Из всей площади сельскохозяйственных угодий 774,4 тысяч га или 68,1% были отнесены </w:t>
      </w:r>
      <w:proofErr w:type="gramStart"/>
      <w:r>
        <w:rPr>
          <w:rFonts w:ascii="Arial" w:hAnsi="Arial" w:cs="Arial"/>
          <w:color w:val="000000"/>
        </w:rPr>
        <w:t>к</w:t>
      </w:r>
      <w:proofErr w:type="gramEnd"/>
      <w:r>
        <w:rPr>
          <w:rFonts w:ascii="Arial" w:hAnsi="Arial" w:cs="Arial"/>
          <w:color w:val="000000"/>
        </w:rPr>
        <w:t xml:space="preserve"> потенциально неиспользуемым. </w:t>
      </w:r>
      <w:proofErr w:type="gramStart"/>
      <w:r>
        <w:rPr>
          <w:rFonts w:ascii="Arial" w:hAnsi="Arial" w:cs="Arial"/>
          <w:color w:val="000000"/>
        </w:rPr>
        <w:t xml:space="preserve">К их числу отнесены также залежи и иные земли без признаков хозяйственной активности, </w:t>
      </w:r>
      <w:proofErr w:type="spellStart"/>
      <w:r>
        <w:rPr>
          <w:rFonts w:ascii="Arial" w:hAnsi="Arial" w:cs="Arial"/>
          <w:color w:val="000000"/>
        </w:rPr>
        <w:t>закустаренные</w:t>
      </w:r>
      <w:proofErr w:type="spellEnd"/>
      <w:r>
        <w:rPr>
          <w:rFonts w:ascii="Arial" w:hAnsi="Arial" w:cs="Arial"/>
          <w:color w:val="000000"/>
        </w:rPr>
        <w:t xml:space="preserve"> пастбища и сенокосы (хотя на последних возможен выпас скота и сенокошение).</w:t>
      </w:r>
      <w:proofErr w:type="gramEnd"/>
      <w:r>
        <w:rPr>
          <w:rFonts w:ascii="Arial" w:hAnsi="Arial" w:cs="Arial"/>
          <w:color w:val="000000"/>
        </w:rPr>
        <w:t xml:space="preserve"> Особенно неблагоприятная ситуация сложилась в отношении пахотных земель. Как видно из рисунка 5, на долю неиспользуемой пашни приходится 54,1% всех сельскохозяйственных угодий области. В условиях специализации региона на молочно-мясном животноводстве встает вопрос о трансформации пашни в улучшенные пастбища.</w:t>
      </w:r>
    </w:p>
    <w:p w:rsidR="007709C7" w:rsidRDefault="007709C7" w:rsidP="007709C7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В структуре сельскохозяйственного землепользования Калужской области отчетливо прослеживаются территориальные различия (рисунок 5 и 6). В самом общем виде выделяются северо-восточные районы области с удовлетворительными показателями использования сельскохозяйственных угодий и минимальным их зарастанием. В западных и южных районах, напротив, подавляющее большинство земельных угодий находится в заброшенном состоянии. В пяти муниципальных образованиях: Боровском, </w:t>
      </w:r>
      <w:proofErr w:type="gramStart"/>
      <w:r>
        <w:rPr>
          <w:rFonts w:ascii="Arial" w:hAnsi="Arial" w:cs="Arial"/>
          <w:color w:val="000000"/>
        </w:rPr>
        <w:t>Жуковском</w:t>
      </w:r>
      <w:proofErr w:type="gramEnd"/>
      <w:r>
        <w:rPr>
          <w:rFonts w:ascii="Arial" w:hAnsi="Arial" w:cs="Arial"/>
          <w:color w:val="000000"/>
        </w:rPr>
        <w:t xml:space="preserve">, Тарусском, </w:t>
      </w:r>
      <w:proofErr w:type="spellStart"/>
      <w:r>
        <w:rPr>
          <w:rFonts w:ascii="Arial" w:hAnsi="Arial" w:cs="Arial"/>
          <w:color w:val="000000"/>
        </w:rPr>
        <w:t>Ферзиковском</w:t>
      </w:r>
      <w:proofErr w:type="spellEnd"/>
      <w:r>
        <w:rPr>
          <w:rFonts w:ascii="Arial" w:hAnsi="Arial" w:cs="Arial"/>
          <w:color w:val="000000"/>
        </w:rPr>
        <w:t xml:space="preserve"> районах и городе Калуге большая часть сельскохозяйственных угодий используется по прямому назначению. В остальных муниципальных образованиях области большинство сельскохозяйственных угодий не используется. В 15 районах юга и запада области неиспользуемая пашня занимает более 50% площади сельскохозяйственных угодий.</w:t>
      </w:r>
    </w:p>
    <w:p w:rsidR="007709C7" w:rsidRDefault="007709C7" w:rsidP="007709C7">
      <w:pPr>
        <w:shd w:val="clear" w:color="auto" w:fill="FFFFFF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  <w:lang w:eastAsia="ru-RU"/>
        </w:rPr>
        <w:drawing>
          <wp:inline distT="0" distB="0" distL="0" distR="0">
            <wp:extent cx="5534025" cy="5700046"/>
            <wp:effectExtent l="19050" t="0" r="9525" b="0"/>
            <wp:docPr id="10" name="Рисунок 9" descr="Диаграмма площадей и удельного веса сельхозугодий в муниципальных образовани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Диаграмма площадей и удельного веса сельхозугодий в муниципальных образованиях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5700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09C7" w:rsidRDefault="007709C7" w:rsidP="007709C7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Рис. 6. Диаграмма площадей и удельного веса сельскохозяйственных угодий в муниципальных образованиях Калужской области.</w:t>
      </w:r>
    </w:p>
    <w:p w:rsidR="007709C7" w:rsidRDefault="007709C7" w:rsidP="007709C7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Относительно благоприятная ситуация в северо-восточных районах обусловлена, прежде всего, их близостью к Москве и Московской области – основным рынкам сбыта калужской сельскохозяйственной продукции. Боровский, Жуковский, Тарусский районы расположены к Москве ближе, чем некоторые муниципальные районы Московской области. Кроме этого в данных регионах лучше развито </w:t>
      </w:r>
      <w:proofErr w:type="spellStart"/>
      <w:r>
        <w:rPr>
          <w:rFonts w:ascii="Arial" w:hAnsi="Arial" w:cs="Arial"/>
          <w:color w:val="000000"/>
        </w:rPr>
        <w:t>логистическое</w:t>
      </w:r>
      <w:proofErr w:type="spellEnd"/>
      <w:r>
        <w:rPr>
          <w:rFonts w:ascii="Arial" w:hAnsi="Arial" w:cs="Arial"/>
          <w:color w:val="000000"/>
        </w:rPr>
        <w:t xml:space="preserve"> обеспечение, организуются и развиваются </w:t>
      </w:r>
      <w:proofErr w:type="spellStart"/>
      <w:r>
        <w:rPr>
          <w:rFonts w:ascii="Arial" w:hAnsi="Arial" w:cs="Arial"/>
          <w:color w:val="000000"/>
        </w:rPr>
        <w:t>логистические</w:t>
      </w:r>
      <w:proofErr w:type="spellEnd"/>
      <w:r>
        <w:rPr>
          <w:rFonts w:ascii="Arial" w:hAnsi="Arial" w:cs="Arial"/>
          <w:color w:val="000000"/>
        </w:rPr>
        <w:t xml:space="preserve"> центры и иные инвестиционные проекты, что благоприятно сказывается на сельском хозяйстве. Так, в наиболее благоприятном (и ближайшем к Москве) Боровском районе используется 18,9 тыс. га или свыше 87% всех сельскохозяйственных земель. В Спас-Деменском, Ульяновском, </w:t>
      </w:r>
      <w:proofErr w:type="gramStart"/>
      <w:r>
        <w:rPr>
          <w:rFonts w:ascii="Arial" w:hAnsi="Arial" w:cs="Arial"/>
          <w:color w:val="000000"/>
        </w:rPr>
        <w:t>Куйбышевском</w:t>
      </w:r>
      <w:proofErr w:type="gramEnd"/>
      <w:r>
        <w:rPr>
          <w:rFonts w:ascii="Arial" w:hAnsi="Arial" w:cs="Arial"/>
          <w:color w:val="000000"/>
        </w:rPr>
        <w:t xml:space="preserve">, </w:t>
      </w:r>
      <w:proofErr w:type="spellStart"/>
      <w:r>
        <w:rPr>
          <w:rFonts w:ascii="Arial" w:hAnsi="Arial" w:cs="Arial"/>
          <w:color w:val="000000"/>
        </w:rPr>
        <w:t>Износковском</w:t>
      </w:r>
      <w:proofErr w:type="spellEnd"/>
      <w:r>
        <w:rPr>
          <w:rFonts w:ascii="Arial" w:hAnsi="Arial" w:cs="Arial"/>
          <w:color w:val="000000"/>
        </w:rPr>
        <w:t xml:space="preserve">, </w:t>
      </w:r>
      <w:proofErr w:type="spellStart"/>
      <w:r>
        <w:rPr>
          <w:rFonts w:ascii="Arial" w:hAnsi="Arial" w:cs="Arial"/>
          <w:color w:val="000000"/>
        </w:rPr>
        <w:t>Жиздринском</w:t>
      </w:r>
      <w:proofErr w:type="spellEnd"/>
      <w:r>
        <w:rPr>
          <w:rFonts w:ascii="Arial" w:hAnsi="Arial" w:cs="Arial"/>
          <w:color w:val="000000"/>
        </w:rPr>
        <w:t xml:space="preserve">, </w:t>
      </w:r>
      <w:proofErr w:type="spellStart"/>
      <w:r>
        <w:rPr>
          <w:rFonts w:ascii="Arial" w:hAnsi="Arial" w:cs="Arial"/>
          <w:color w:val="000000"/>
        </w:rPr>
        <w:t>Людиновском</w:t>
      </w:r>
      <w:proofErr w:type="spellEnd"/>
      <w:r>
        <w:rPr>
          <w:rFonts w:ascii="Arial" w:hAnsi="Arial" w:cs="Arial"/>
          <w:color w:val="000000"/>
        </w:rPr>
        <w:t xml:space="preserve"> и Мещовском районах, по результатам анализа данных </w:t>
      </w:r>
      <w:proofErr w:type="spellStart"/>
      <w:r>
        <w:rPr>
          <w:rFonts w:ascii="Arial" w:hAnsi="Arial" w:cs="Arial"/>
          <w:color w:val="000000"/>
        </w:rPr>
        <w:t>космосъемки</w:t>
      </w:r>
      <w:proofErr w:type="spellEnd"/>
      <w:r>
        <w:rPr>
          <w:rFonts w:ascii="Arial" w:hAnsi="Arial" w:cs="Arial"/>
          <w:color w:val="000000"/>
        </w:rPr>
        <w:t xml:space="preserve"> неиспользуемыми являются более 80% сельскохозяйственных угодий.</w:t>
      </w:r>
    </w:p>
    <w:p w:rsidR="007709C7" w:rsidRDefault="007709C7" w:rsidP="007709C7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Древесно-кустарниковой растительностью по результатам дешифрирования снимков покрыто 279 тыс. га (24,5%) сельскохозяйственных угодий. Самыми «чистыми» являются Боровский и Жуковский районы и город Калуга со степенью зарастания сельскохозяйственных угодий менее чем 10% (рисунок 6). В Ульяновском районе древесно-кустарниковой растительностью заросло 58% сельскохозяйственных угодий, что может быть объяснено, помимо общего упадка сельскохозяйственного производства, высокой лесистостью района в сочетании с особенностями рельефа (овражно-балочная сеть).</w:t>
      </w:r>
    </w:p>
    <w:p w:rsidR="007709C7" w:rsidRDefault="007709C7" w:rsidP="007709C7">
      <w:pPr>
        <w:pStyle w:val="2"/>
        <w:shd w:val="clear" w:color="auto" w:fill="FFFFFF"/>
        <w:spacing w:before="270" w:after="180" w:line="360" w:lineRule="atLeast"/>
        <w:rPr>
          <w:rFonts w:ascii="Arial" w:hAnsi="Arial" w:cs="Arial"/>
          <w:b w:val="0"/>
          <w:bCs w:val="0"/>
          <w:color w:val="000000"/>
          <w:sz w:val="30"/>
          <w:szCs w:val="30"/>
        </w:rPr>
      </w:pPr>
      <w:r>
        <w:rPr>
          <w:rFonts w:ascii="Arial" w:hAnsi="Arial" w:cs="Arial"/>
          <w:b w:val="0"/>
          <w:bCs w:val="0"/>
          <w:color w:val="000000"/>
          <w:sz w:val="30"/>
          <w:szCs w:val="30"/>
        </w:rPr>
        <w:t>Заключение</w:t>
      </w:r>
    </w:p>
    <w:p w:rsidR="007709C7" w:rsidRDefault="007709C7" w:rsidP="007709C7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Результаты инвентаризации сельскохозяйственных угодий с использованием космических снимков используются органами исполнительной власти и местного самоуправления, управлением </w:t>
      </w:r>
      <w:proofErr w:type="spellStart"/>
      <w:r>
        <w:rPr>
          <w:rFonts w:ascii="Arial" w:hAnsi="Arial" w:cs="Arial"/>
          <w:color w:val="000000"/>
        </w:rPr>
        <w:t>Россельхознадзора</w:t>
      </w:r>
      <w:proofErr w:type="spellEnd"/>
      <w:r>
        <w:rPr>
          <w:rFonts w:ascii="Arial" w:hAnsi="Arial" w:cs="Arial"/>
          <w:color w:val="000000"/>
        </w:rPr>
        <w:t xml:space="preserve"> по Калужской области для целей оптимизации налогообложения. Министерство сельского хозяйства области в 2012 году инициировало применение повышенной ставки земельного налога в отношении земельных участков из состава земель сельскохозяйственного назначения, неиспользуемых для сельскохозяйственного производства (1,5% вместо 0,3% от кадастровой стоимости участка). Данные выполненного проекта предоставляются как в виде бумажных отчетов, так и в электронном виде на </w:t>
      </w:r>
      <w:proofErr w:type="spellStart"/>
      <w:r>
        <w:rPr>
          <w:rFonts w:ascii="Arial" w:hAnsi="Arial" w:cs="Arial"/>
          <w:color w:val="000000"/>
        </w:rPr>
        <w:t>геопортале</w:t>
      </w:r>
      <w:proofErr w:type="spellEnd"/>
      <w:r>
        <w:rPr>
          <w:rFonts w:ascii="Arial" w:hAnsi="Arial" w:cs="Arial"/>
          <w:color w:val="000000"/>
        </w:rPr>
        <w:t xml:space="preserve"> Калужской области. На основании представляемой информации планируются и осуществляются мероприятия государственного земельного контроля. В 2014 году по результатам проверок было проведено доначисление налогов в областной бюджет на сумму 2,971 млн. рублей.</w:t>
      </w:r>
    </w:p>
    <w:p w:rsidR="007709C7" w:rsidRDefault="007709C7" w:rsidP="007709C7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Данные космического мониторинга представляют ценность не только для интересов налогообложения. Космические снимки, результаты дистанционного мониторинга, отраслевые </w:t>
      </w:r>
      <w:proofErr w:type="spellStart"/>
      <w:r>
        <w:rPr>
          <w:rFonts w:ascii="Arial" w:hAnsi="Arial" w:cs="Arial"/>
          <w:color w:val="000000"/>
        </w:rPr>
        <w:t>геоинформационные</w:t>
      </w:r>
      <w:proofErr w:type="spellEnd"/>
      <w:r>
        <w:rPr>
          <w:rFonts w:ascii="Arial" w:hAnsi="Arial" w:cs="Arial"/>
          <w:color w:val="000000"/>
        </w:rPr>
        <w:t xml:space="preserve"> системы и </w:t>
      </w:r>
      <w:proofErr w:type="spellStart"/>
      <w:r>
        <w:rPr>
          <w:rFonts w:ascii="Arial" w:hAnsi="Arial" w:cs="Arial"/>
          <w:color w:val="000000"/>
        </w:rPr>
        <w:t>веб-геосервисы</w:t>
      </w:r>
      <w:proofErr w:type="spellEnd"/>
      <w:r>
        <w:rPr>
          <w:rFonts w:ascii="Arial" w:hAnsi="Arial" w:cs="Arial"/>
          <w:color w:val="000000"/>
        </w:rPr>
        <w:t xml:space="preserve"> – это ценнейшие источники информации и инструменты для принятия управленческих решений в сфере управления земельными ресурсами. Речь идет, в первую очередь, о территориальном планировании (землеустройстве). Именно на базе материалов землеустроительного проектирования возможно обеспечение оптимального режима использования каждого гектара угодий, и, следовательно, устойчивого развития сельских территорий.</w:t>
      </w:r>
    </w:p>
    <w:p w:rsidR="007709C7" w:rsidRDefault="007709C7" w:rsidP="007709C7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Правительство Калужской области интенсивно использует в своей деятельности современные информационные технологии. Использование данных космического мониторинга позволяет увидеть реальную картину сельскохозяйственного землепользования и сформировать более объективную статистическую отчетность о структуре земельного фонда. Авторы статьи выражают надежду, что положительный опыт использования данных ДЗЗ в части инвентаризации, мониторинга и контроля земель сельскохозяйственных назначений будет взят на вооружения другими субъектами Российской Федерации, особенно в нечерноземной зоне.</w:t>
      </w:r>
    </w:p>
    <w:p w:rsidR="007709C7" w:rsidRDefault="007709C7" w:rsidP="007709C7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Вероятно, проводимая в настоящее время политика </w:t>
      </w:r>
      <w:proofErr w:type="spellStart"/>
      <w:r>
        <w:rPr>
          <w:rFonts w:ascii="Arial" w:hAnsi="Arial" w:cs="Arial"/>
          <w:color w:val="000000"/>
        </w:rPr>
        <w:t>импортозамещения</w:t>
      </w:r>
      <w:proofErr w:type="spellEnd"/>
      <w:r>
        <w:rPr>
          <w:rFonts w:ascii="Arial" w:hAnsi="Arial" w:cs="Arial"/>
          <w:color w:val="000000"/>
        </w:rPr>
        <w:t xml:space="preserve"> послужит стимулом возрождения агропромышленного комплекса Калужской области и всей страны в целом, способствуя рационализации использования сельскохозяйственных земельных угодий и развитию цивилизованных рыночных земельных отношений.</w:t>
      </w:r>
    </w:p>
    <w:p w:rsidR="007709C7" w:rsidRDefault="007709C7" w:rsidP="007709C7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proofErr w:type="gramStart"/>
      <w:r>
        <w:rPr>
          <w:rFonts w:ascii="Arial" w:hAnsi="Arial" w:cs="Arial"/>
          <w:color w:val="000000"/>
        </w:rPr>
        <w:t>В 2015 году проект «Мониторинг земель сельскохозяйственного назначения в Калужской области», в который вошли выше изложенные результаты, занял первое место на III Всероссийском конкурсе проектов региональной информатизации «ПРОФ-IT» в номинации «IT в сельском хозяйстве» [4].</w:t>
      </w:r>
      <w:proofErr w:type="gramEnd"/>
    </w:p>
    <w:p w:rsidR="007709C7" w:rsidRDefault="007709C7" w:rsidP="007709C7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Использованные источники:</w:t>
      </w:r>
    </w:p>
    <w:p w:rsidR="007709C7" w:rsidRDefault="007709C7" w:rsidP="007709C7">
      <w:pPr>
        <w:numPr>
          <w:ilvl w:val="0"/>
          <w:numId w:val="1"/>
        </w:numPr>
        <w:shd w:val="clear" w:color="auto" w:fill="FFFFFF"/>
        <w:spacing w:before="120" w:after="120" w:line="336" w:lineRule="atLeast"/>
        <w:ind w:left="180"/>
        <w:rPr>
          <w:rFonts w:ascii="Arial" w:hAnsi="Arial" w:cs="Arial"/>
          <w:color w:val="000000"/>
        </w:rPr>
      </w:pPr>
      <w:r w:rsidRPr="007709C7">
        <w:rPr>
          <w:rFonts w:ascii="Arial" w:hAnsi="Arial" w:cs="Arial"/>
          <w:color w:val="000000"/>
          <w:lang w:val="en-US"/>
        </w:rPr>
        <w:t>Prishchepov A.V. et al. Effects of institutional changes on land use: agricultural land abandonment during the transition from state-command to market-driven economies in post-Soviet Eastern Europe //Environmental Research Letters.–2012</w:t>
      </w:r>
      <w:proofErr w:type="gramStart"/>
      <w:r w:rsidRPr="007709C7">
        <w:rPr>
          <w:rFonts w:ascii="Arial" w:hAnsi="Arial" w:cs="Arial"/>
          <w:color w:val="000000"/>
          <w:lang w:val="en-US"/>
        </w:rPr>
        <w:t>.–</w:t>
      </w:r>
      <w:proofErr w:type="gramEnd"/>
      <w:r w:rsidRPr="007709C7">
        <w:rPr>
          <w:rFonts w:ascii="Arial" w:hAnsi="Arial" w:cs="Arial"/>
          <w:color w:val="000000"/>
          <w:lang w:val="en-US"/>
        </w:rPr>
        <w:t xml:space="preserve"> </w:t>
      </w:r>
      <w:r>
        <w:rPr>
          <w:rFonts w:ascii="Arial" w:hAnsi="Arial" w:cs="Arial"/>
          <w:color w:val="000000"/>
        </w:rPr>
        <w:t>Т.7.–№.2.–С.024021.</w:t>
      </w:r>
    </w:p>
    <w:p w:rsidR="007709C7" w:rsidRDefault="007709C7" w:rsidP="007709C7">
      <w:pPr>
        <w:numPr>
          <w:ilvl w:val="0"/>
          <w:numId w:val="1"/>
        </w:numPr>
        <w:shd w:val="clear" w:color="auto" w:fill="FFFFFF"/>
        <w:spacing w:before="120" w:after="120" w:line="336" w:lineRule="atLeast"/>
        <w:ind w:left="180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000000"/>
        </w:rPr>
        <w:t>Белорусцева</w:t>
      </w:r>
      <w:proofErr w:type="spellEnd"/>
      <w:r>
        <w:rPr>
          <w:rFonts w:ascii="Arial" w:hAnsi="Arial" w:cs="Arial"/>
          <w:color w:val="000000"/>
        </w:rPr>
        <w:t xml:space="preserve"> Е.В. Мониторинг состояния сельскохозяйственных угодий </w:t>
      </w:r>
      <w:proofErr w:type="spellStart"/>
      <w:r>
        <w:rPr>
          <w:rFonts w:ascii="Arial" w:hAnsi="Arial" w:cs="Arial"/>
          <w:color w:val="000000"/>
        </w:rPr>
        <w:t>Нечерноземеной</w:t>
      </w:r>
      <w:proofErr w:type="spellEnd"/>
      <w:r>
        <w:rPr>
          <w:rFonts w:ascii="Arial" w:hAnsi="Arial" w:cs="Arial"/>
          <w:color w:val="000000"/>
        </w:rPr>
        <w:t xml:space="preserve"> зоны Российской Федерации //Современные проблемы дистанционного зондирования Земли из космоса.–2012.–Т.9.–№.1.–С.57-64.</w:t>
      </w:r>
    </w:p>
    <w:p w:rsidR="007709C7" w:rsidRDefault="007709C7" w:rsidP="007709C7">
      <w:pPr>
        <w:numPr>
          <w:ilvl w:val="0"/>
          <w:numId w:val="1"/>
        </w:numPr>
        <w:shd w:val="clear" w:color="auto" w:fill="FFFFFF"/>
        <w:spacing w:before="120" w:after="120" w:line="336" w:lineRule="atLeast"/>
        <w:ind w:left="18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Официальный портал органов Власти Калужской области: Оборот земель </w:t>
      </w:r>
      <w:proofErr w:type="spellStart"/>
      <w:r>
        <w:rPr>
          <w:rFonts w:ascii="Arial" w:hAnsi="Arial" w:cs="Arial"/>
          <w:color w:val="000000"/>
        </w:rPr>
        <w:t>сельхозназначения</w:t>
      </w:r>
      <w:proofErr w:type="spellEnd"/>
      <w:r>
        <w:rPr>
          <w:rFonts w:ascii="Arial" w:hAnsi="Arial" w:cs="Arial"/>
          <w:color w:val="000000"/>
        </w:rPr>
        <w:t xml:space="preserve"> [Электронный ресурс]. – Режим доступа: http://www. </w:t>
      </w:r>
      <w:proofErr w:type="spellStart"/>
      <w:r>
        <w:rPr>
          <w:rFonts w:ascii="Arial" w:hAnsi="Arial" w:cs="Arial"/>
          <w:color w:val="000000"/>
        </w:rPr>
        <w:t>admoblkaluga.ru</w:t>
      </w:r>
      <w:proofErr w:type="spellEnd"/>
      <w:r>
        <w:rPr>
          <w:rFonts w:ascii="Arial" w:hAnsi="Arial" w:cs="Arial"/>
          <w:color w:val="000000"/>
        </w:rPr>
        <w:t>/</w:t>
      </w:r>
      <w:proofErr w:type="spellStart"/>
      <w:r>
        <w:rPr>
          <w:rFonts w:ascii="Arial" w:hAnsi="Arial" w:cs="Arial"/>
          <w:color w:val="000000"/>
        </w:rPr>
        <w:t>sub</w:t>
      </w:r>
      <w:proofErr w:type="spellEnd"/>
      <w:r>
        <w:rPr>
          <w:rFonts w:ascii="Arial" w:hAnsi="Arial" w:cs="Arial"/>
          <w:color w:val="000000"/>
        </w:rPr>
        <w:t xml:space="preserve">/ </w:t>
      </w:r>
      <w:proofErr w:type="spellStart"/>
      <w:r>
        <w:rPr>
          <w:rFonts w:ascii="Arial" w:hAnsi="Arial" w:cs="Arial"/>
          <w:color w:val="000000"/>
        </w:rPr>
        <w:t>selhoz</w:t>
      </w:r>
      <w:proofErr w:type="spellEnd"/>
      <w:r>
        <w:rPr>
          <w:rFonts w:ascii="Arial" w:hAnsi="Arial" w:cs="Arial"/>
          <w:color w:val="000000"/>
        </w:rPr>
        <w:t>/</w:t>
      </w:r>
      <w:proofErr w:type="spellStart"/>
      <w:r>
        <w:rPr>
          <w:rFonts w:ascii="Arial" w:hAnsi="Arial" w:cs="Arial"/>
          <w:color w:val="000000"/>
        </w:rPr>
        <w:t>cooperation</w:t>
      </w:r>
      <w:proofErr w:type="spellEnd"/>
      <w:r>
        <w:rPr>
          <w:rFonts w:ascii="Arial" w:hAnsi="Arial" w:cs="Arial"/>
          <w:color w:val="000000"/>
        </w:rPr>
        <w:t xml:space="preserve">_ </w:t>
      </w:r>
      <w:proofErr w:type="spellStart"/>
      <w:r>
        <w:rPr>
          <w:rFonts w:ascii="Arial" w:hAnsi="Arial" w:cs="Arial"/>
          <w:color w:val="000000"/>
        </w:rPr>
        <w:t>with_municipalities</w:t>
      </w:r>
      <w:proofErr w:type="spellEnd"/>
      <w:r>
        <w:rPr>
          <w:rFonts w:ascii="Arial" w:hAnsi="Arial" w:cs="Arial"/>
          <w:color w:val="000000"/>
        </w:rPr>
        <w:t xml:space="preserve">/ </w:t>
      </w:r>
      <w:proofErr w:type="spellStart"/>
      <w:r>
        <w:rPr>
          <w:rFonts w:ascii="Arial" w:hAnsi="Arial" w:cs="Arial"/>
          <w:color w:val="000000"/>
        </w:rPr>
        <w:t>oborot_zem.php</w:t>
      </w:r>
      <w:proofErr w:type="spellEnd"/>
      <w:r>
        <w:rPr>
          <w:rFonts w:ascii="Arial" w:hAnsi="Arial" w:cs="Arial"/>
          <w:color w:val="000000"/>
        </w:rPr>
        <w:t>.–Дата доступа: 14.07.2015.</w:t>
      </w:r>
    </w:p>
    <w:p w:rsidR="007709C7" w:rsidRDefault="007709C7" w:rsidP="007709C7">
      <w:pPr>
        <w:numPr>
          <w:ilvl w:val="0"/>
          <w:numId w:val="1"/>
        </w:numPr>
        <w:shd w:val="clear" w:color="auto" w:fill="FFFFFF"/>
        <w:spacing w:before="120" w:after="120" w:line="336" w:lineRule="atLeast"/>
        <w:ind w:left="18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Сайт конкурса ПРОФ-</w:t>
      </w:r>
      <w:proofErr w:type="gramStart"/>
      <w:r>
        <w:rPr>
          <w:rFonts w:ascii="Arial" w:hAnsi="Arial" w:cs="Arial"/>
          <w:color w:val="000000"/>
        </w:rPr>
        <w:t>IT</w:t>
      </w:r>
      <w:proofErr w:type="gramEnd"/>
      <w:r>
        <w:rPr>
          <w:rFonts w:ascii="Arial" w:hAnsi="Arial" w:cs="Arial"/>
          <w:color w:val="000000"/>
        </w:rPr>
        <w:t>: Результаты конкурсной защиты. [Электронный ресурс]. – Режим доступа: http: //prof-it2015.d-russia.ru/news/rezultatyi-pervogo-dnya-konkursnoj-zashhityi .</w:t>
      </w:r>
      <w:proofErr w:type="spellStart"/>
      <w:r>
        <w:rPr>
          <w:rFonts w:ascii="Arial" w:hAnsi="Arial" w:cs="Arial"/>
          <w:color w:val="000000"/>
        </w:rPr>
        <w:t>html</w:t>
      </w:r>
      <w:proofErr w:type="spellEnd"/>
      <w:r>
        <w:rPr>
          <w:rFonts w:ascii="Arial" w:hAnsi="Arial" w:cs="Arial"/>
          <w:color w:val="000000"/>
        </w:rPr>
        <w:t>.–Дата доступа: 14.07.2015.</w:t>
      </w:r>
    </w:p>
    <w:p w:rsidR="007709C7" w:rsidRDefault="007709C7" w:rsidP="007709C7">
      <w:pPr>
        <w:numPr>
          <w:ilvl w:val="0"/>
          <w:numId w:val="1"/>
        </w:numPr>
        <w:shd w:val="clear" w:color="auto" w:fill="FFFFFF"/>
        <w:spacing w:before="120" w:after="120" w:line="336" w:lineRule="atLeast"/>
        <w:ind w:left="180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000000"/>
        </w:rPr>
        <w:t>Геоинформационный</w:t>
      </w:r>
      <w:proofErr w:type="spellEnd"/>
      <w:r>
        <w:rPr>
          <w:rFonts w:ascii="Arial" w:hAnsi="Arial" w:cs="Arial"/>
          <w:color w:val="000000"/>
        </w:rPr>
        <w:t xml:space="preserve"> портал Калужской области: Калуга [Электронный ресурс] / </w:t>
      </w:r>
      <w:proofErr w:type="spellStart"/>
      <w:r>
        <w:rPr>
          <w:rFonts w:ascii="Arial" w:hAnsi="Arial" w:cs="Arial"/>
          <w:color w:val="000000"/>
        </w:rPr>
        <w:t>Калугаинформтех</w:t>
      </w:r>
      <w:proofErr w:type="spellEnd"/>
      <w:r>
        <w:rPr>
          <w:rFonts w:ascii="Arial" w:hAnsi="Arial" w:cs="Arial"/>
          <w:color w:val="000000"/>
        </w:rPr>
        <w:t>. – Режим доступа: http://geoportal40.ru/.–Дата доступа: 14.07.2015.</w:t>
      </w:r>
    </w:p>
    <w:p w:rsidR="007709C7" w:rsidRPr="00367FDF" w:rsidRDefault="007709C7" w:rsidP="00367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367FDF" w:rsidRDefault="00367FDF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</w:p>
    <w:p w:rsidR="0008245D" w:rsidRDefault="0008245D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</w:p>
    <w:p w:rsidR="0008245D" w:rsidRDefault="0008245D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</w:p>
    <w:p w:rsidR="0008245D" w:rsidRDefault="0008245D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</w:p>
    <w:p w:rsidR="0008245D" w:rsidRDefault="0008245D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</w:p>
    <w:p w:rsidR="0008245D" w:rsidRDefault="0008245D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</w:p>
    <w:p w:rsidR="0008245D" w:rsidRDefault="0008245D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</w:p>
    <w:p w:rsidR="0008245D" w:rsidRDefault="0008245D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</w:p>
    <w:p w:rsidR="0008245D" w:rsidRDefault="0008245D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</w:p>
    <w:p w:rsidR="0008245D" w:rsidRDefault="0008245D" w:rsidP="000176DC">
      <w:pPr>
        <w:pStyle w:val="a3"/>
        <w:shd w:val="clear" w:color="auto" w:fill="FFFFFF"/>
        <w:spacing w:before="180" w:beforeAutospacing="0" w:after="180" w:afterAutospacing="0" w:line="336" w:lineRule="atLeast"/>
        <w:jc w:val="both"/>
        <w:rPr>
          <w:rFonts w:ascii="Arial" w:hAnsi="Arial" w:cs="Arial"/>
          <w:color w:val="000000"/>
        </w:rPr>
      </w:pPr>
    </w:p>
    <w:p w:rsidR="00B662B4" w:rsidRDefault="00B662B4"/>
    <w:sectPr w:rsidR="00B662B4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4B670A"/>
    <w:multiLevelType w:val="multilevel"/>
    <w:tmpl w:val="AE7EB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A01FC2"/>
    <w:rsid w:val="000015B6"/>
    <w:rsid w:val="000176DC"/>
    <w:rsid w:val="0008245D"/>
    <w:rsid w:val="00310837"/>
    <w:rsid w:val="00367FDF"/>
    <w:rsid w:val="0049709E"/>
    <w:rsid w:val="00577728"/>
    <w:rsid w:val="007709C7"/>
    <w:rsid w:val="00790B7D"/>
    <w:rsid w:val="007E168F"/>
    <w:rsid w:val="0096320B"/>
    <w:rsid w:val="00A01FC2"/>
    <w:rsid w:val="00B662B4"/>
    <w:rsid w:val="00BB2E30"/>
    <w:rsid w:val="00BD3E00"/>
    <w:rsid w:val="00CF3785"/>
    <w:rsid w:val="00D95766"/>
    <w:rsid w:val="00F06DDA"/>
    <w:rsid w:val="00F76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1">
    <w:name w:val="heading 1"/>
    <w:basedOn w:val="a"/>
    <w:link w:val="10"/>
    <w:uiPriority w:val="9"/>
    <w:qFormat/>
    <w:rsid w:val="00A01F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76D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1FC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01F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66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62B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0176D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4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9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1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7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3618</Words>
  <Characters>20629</Characters>
  <Application>Microsoft Office Word</Application>
  <DocSecurity>0</DocSecurity>
  <Lines>171</Lines>
  <Paragraphs>48</Paragraphs>
  <ScaleCrop>false</ScaleCrop>
  <Company/>
  <LinksUpToDate>false</LinksUpToDate>
  <CharactersWithSpaces>24199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2021-02-20T21:48:00Z</dcterms:created>
  <dcterms:modified xsi:type="dcterms:W3CDTF">2021-02-20T21:48:00Z</dcterms:modified>
</cp:coreProperties>
</file>